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F15A" w14:textId="77777777" w:rsidR="005844BC" w:rsidRPr="00037505" w:rsidRDefault="005844BC" w:rsidP="005844BC">
      <w:pPr>
        <w:spacing w:line="240" w:lineRule="auto"/>
        <w:ind w:left="5954" w:hanging="5954"/>
        <w:rPr>
          <w:szCs w:val="21"/>
          <w:lang w:val="hr-HR"/>
        </w:rPr>
      </w:pPr>
      <w:proofErr w:type="spellStart"/>
      <w:r w:rsidRPr="00037505">
        <w:rPr>
          <w:szCs w:val="21"/>
          <w:lang w:val="hr-HR"/>
        </w:rPr>
        <w:t>Copa-Cogeca</w:t>
      </w:r>
      <w:proofErr w:type="spellEnd"/>
      <w:r w:rsidRPr="00037505">
        <w:rPr>
          <w:szCs w:val="21"/>
          <w:lang w:val="hr-HR"/>
        </w:rPr>
        <w:tab/>
      </w:r>
      <w:proofErr w:type="spellStart"/>
      <w:r w:rsidRPr="00037505">
        <w:rPr>
          <w:szCs w:val="21"/>
          <w:lang w:val="hr-HR"/>
        </w:rPr>
        <w:t>Brussels</w:t>
      </w:r>
      <w:proofErr w:type="spellEnd"/>
      <w:r w:rsidRPr="00037505">
        <w:rPr>
          <w:szCs w:val="21"/>
          <w:lang w:val="hr-HR"/>
        </w:rPr>
        <w:t>, 30</w:t>
      </w:r>
      <w:r w:rsidRPr="00037505">
        <w:rPr>
          <w:szCs w:val="21"/>
          <w:vertAlign w:val="superscript"/>
          <w:lang w:val="hr-HR"/>
        </w:rPr>
        <w:t>th</w:t>
      </w:r>
      <w:r w:rsidRPr="00037505">
        <w:rPr>
          <w:szCs w:val="21"/>
          <w:lang w:val="hr-HR"/>
        </w:rPr>
        <w:t xml:space="preserve"> April 2020</w:t>
      </w:r>
    </w:p>
    <w:p w14:paraId="181DCFC2" w14:textId="77777777" w:rsidR="005844BC" w:rsidRPr="00037505" w:rsidRDefault="005844BC" w:rsidP="005844BC">
      <w:pPr>
        <w:spacing w:after="120" w:line="240" w:lineRule="auto"/>
        <w:jc w:val="both"/>
        <w:rPr>
          <w:b/>
          <w:caps/>
          <w:sz w:val="22"/>
          <w:szCs w:val="22"/>
          <w:lang w:val="hr-HR"/>
        </w:rPr>
      </w:pPr>
    </w:p>
    <w:p w14:paraId="0DE2254F" w14:textId="3740988B" w:rsidR="005844BC" w:rsidRPr="00037505" w:rsidRDefault="00037505" w:rsidP="00037505">
      <w:pPr>
        <w:spacing w:after="120" w:line="240" w:lineRule="auto"/>
        <w:ind w:left="5954" w:hanging="5954"/>
        <w:jc w:val="center"/>
        <w:rPr>
          <w:b/>
          <w:i/>
          <w:sz w:val="28"/>
          <w:szCs w:val="28"/>
          <w:lang w:val="hr-HR"/>
        </w:rPr>
      </w:pPr>
      <w:r w:rsidRPr="00037505">
        <w:rPr>
          <w:b/>
          <w:i/>
          <w:sz w:val="28"/>
          <w:szCs w:val="28"/>
          <w:lang w:val="hr-HR"/>
        </w:rPr>
        <w:t xml:space="preserve">Bilješka sa sastanka </w:t>
      </w:r>
      <w:r w:rsidR="005844BC" w:rsidRPr="00037505">
        <w:rPr>
          <w:b/>
          <w:sz w:val="32"/>
          <w:szCs w:val="32"/>
          <w:lang w:val="hr-HR"/>
        </w:rPr>
        <w:t>POCC/CCC, 30/04/2020</w:t>
      </w:r>
    </w:p>
    <w:p w14:paraId="37BDFFBF" w14:textId="77777777" w:rsidR="005844BC" w:rsidRPr="00037505" w:rsidRDefault="005844BC" w:rsidP="005844BC">
      <w:pPr>
        <w:spacing w:after="120" w:line="240" w:lineRule="auto"/>
        <w:jc w:val="both"/>
        <w:rPr>
          <w:b/>
          <w:i/>
          <w:sz w:val="22"/>
          <w:szCs w:val="22"/>
          <w:lang w:val="hr-HR"/>
        </w:rPr>
      </w:pPr>
    </w:p>
    <w:p w14:paraId="0F091722" w14:textId="77777777" w:rsidR="005844BC" w:rsidRPr="00037505" w:rsidRDefault="005844BC" w:rsidP="005844BC">
      <w:pPr>
        <w:spacing w:after="120" w:line="240" w:lineRule="auto"/>
        <w:jc w:val="both"/>
        <w:rPr>
          <w:b/>
          <w:i/>
          <w:sz w:val="22"/>
          <w:szCs w:val="22"/>
          <w:lang w:val="hr-HR"/>
        </w:rPr>
      </w:pPr>
    </w:p>
    <w:p w14:paraId="6AC93789" w14:textId="74AB906F" w:rsidR="005844BC" w:rsidRPr="00037505" w:rsidRDefault="00037505" w:rsidP="005844BC">
      <w:pPr>
        <w:spacing w:after="120" w:line="240" w:lineRule="auto"/>
        <w:ind w:left="1276" w:hanging="1276"/>
        <w:rPr>
          <w:b/>
          <w:i/>
          <w:sz w:val="24"/>
          <w:lang w:val="hr-HR"/>
        </w:rPr>
      </w:pPr>
      <w:r w:rsidRPr="00037505">
        <w:rPr>
          <w:b/>
          <w:i/>
          <w:sz w:val="24"/>
          <w:lang w:val="hr-HR"/>
        </w:rPr>
        <w:t>Točka razno</w:t>
      </w:r>
      <w:r w:rsidR="005844BC" w:rsidRPr="00037505">
        <w:rPr>
          <w:b/>
          <w:i/>
          <w:sz w:val="24"/>
          <w:lang w:val="hr-HR"/>
        </w:rPr>
        <w:t xml:space="preserve">:   </w:t>
      </w:r>
      <w:r w:rsidRPr="00037505">
        <w:rPr>
          <w:b/>
          <w:i/>
          <w:sz w:val="24"/>
          <w:lang w:val="hr-HR"/>
        </w:rPr>
        <w:t>Ažuriranje strategije o biološkoj raznolikosti 2030</w:t>
      </w:r>
    </w:p>
    <w:p w14:paraId="446467D9" w14:textId="77777777" w:rsidR="005844BC" w:rsidRPr="00037505" w:rsidRDefault="005844BC" w:rsidP="005844BC">
      <w:pPr>
        <w:spacing w:after="120" w:line="240" w:lineRule="auto"/>
        <w:ind w:left="1276" w:hanging="1276"/>
        <w:rPr>
          <w:b/>
          <w:i/>
          <w:sz w:val="24"/>
          <w:lang w:val="hr-HR"/>
        </w:rPr>
      </w:pPr>
    </w:p>
    <w:p w14:paraId="5AF0CB05" w14:textId="7421C841" w:rsidR="005844BC" w:rsidRPr="00037505" w:rsidRDefault="00037505" w:rsidP="005844BC">
      <w:pPr>
        <w:spacing w:after="120" w:line="240" w:lineRule="auto"/>
        <w:rPr>
          <w:spacing w:val="5"/>
          <w:sz w:val="22"/>
          <w:szCs w:val="22"/>
          <w:lang w:val="hr-HR"/>
        </w:rPr>
      </w:pPr>
      <w:r w:rsidRPr="00037505">
        <w:rPr>
          <w:b/>
          <w:spacing w:val="5"/>
          <w:sz w:val="22"/>
          <w:szCs w:val="22"/>
          <w:lang w:val="hr-HR"/>
        </w:rPr>
        <w:t>Postupak</w:t>
      </w:r>
      <w:r w:rsidR="005844BC" w:rsidRPr="00037505">
        <w:rPr>
          <w:spacing w:val="5"/>
          <w:sz w:val="22"/>
          <w:szCs w:val="22"/>
          <w:lang w:val="hr-HR"/>
        </w:rPr>
        <w:t>:</w:t>
      </w:r>
    </w:p>
    <w:p w14:paraId="4426DE20" w14:textId="5BFC15DD" w:rsidR="00037505" w:rsidRPr="00037505" w:rsidRDefault="00037505" w:rsidP="00037505">
      <w:pPr>
        <w:numPr>
          <w:ilvl w:val="0"/>
          <w:numId w:val="1"/>
        </w:numPr>
        <w:spacing w:after="120" w:line="240" w:lineRule="auto"/>
        <w:rPr>
          <w:bCs/>
          <w:iCs/>
          <w:spacing w:val="5"/>
          <w:sz w:val="22"/>
          <w:szCs w:val="22"/>
          <w:lang w:val="hr-HR"/>
        </w:rPr>
      </w:pPr>
      <w:r w:rsidRPr="00037505">
        <w:rPr>
          <w:bCs/>
          <w:iCs/>
          <w:spacing w:val="5"/>
          <w:sz w:val="22"/>
          <w:szCs w:val="22"/>
          <w:lang w:val="hr-HR"/>
        </w:rPr>
        <w:t>Ovo je točka informacija.</w:t>
      </w:r>
    </w:p>
    <w:p w14:paraId="160E52F5" w14:textId="1DB7EFCC" w:rsidR="005844BC" w:rsidRPr="00037505" w:rsidRDefault="00037505" w:rsidP="00037505">
      <w:pPr>
        <w:numPr>
          <w:ilvl w:val="0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>
        <w:rPr>
          <w:bCs/>
          <w:iCs/>
          <w:spacing w:val="5"/>
          <w:sz w:val="22"/>
          <w:szCs w:val="22"/>
          <w:lang w:val="hr-HR"/>
        </w:rPr>
        <w:t>Glavni</w:t>
      </w:r>
      <w:r w:rsidRPr="00037505">
        <w:rPr>
          <w:bCs/>
          <w:iCs/>
          <w:spacing w:val="5"/>
          <w:sz w:val="22"/>
          <w:szCs w:val="22"/>
          <w:lang w:val="hr-HR"/>
        </w:rPr>
        <w:t xml:space="preserve"> tajnik to može naznačiti</w:t>
      </w:r>
      <w:r w:rsidR="005844BC" w:rsidRPr="00037505">
        <w:rPr>
          <w:bCs/>
          <w:iCs/>
          <w:spacing w:val="5"/>
          <w:sz w:val="22"/>
          <w:szCs w:val="22"/>
          <w:lang w:val="hr-HR"/>
        </w:rPr>
        <w:t>:</w:t>
      </w:r>
    </w:p>
    <w:p w14:paraId="3E912F9C" w14:textId="37CFEEAA" w:rsidR="005844BC" w:rsidRPr="00037505" w:rsidRDefault="00037505" w:rsidP="005844BC">
      <w:pPr>
        <w:numPr>
          <w:ilvl w:val="1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037505">
        <w:rPr>
          <w:spacing w:val="5"/>
          <w:sz w:val="22"/>
          <w:szCs w:val="22"/>
          <w:lang w:val="hr-HR"/>
        </w:rPr>
        <w:t>Dobili smo informacije o trenutnom stanju u ciljevima Strategije biološke raznolikosti. Glavni elementi trenutnog nacrta uključuju</w:t>
      </w:r>
      <w:r w:rsidR="005844BC" w:rsidRPr="00037505">
        <w:rPr>
          <w:spacing w:val="5"/>
          <w:sz w:val="22"/>
          <w:szCs w:val="22"/>
          <w:lang w:val="hr-HR"/>
        </w:rPr>
        <w:t>:</w:t>
      </w:r>
    </w:p>
    <w:p w14:paraId="08CB4C76" w14:textId="77777777" w:rsidR="00037505" w:rsidRPr="00037505" w:rsidRDefault="00037505" w:rsidP="00037505">
      <w:pPr>
        <w:numPr>
          <w:ilvl w:val="2"/>
          <w:numId w:val="1"/>
        </w:numPr>
        <w:spacing w:after="120" w:line="240" w:lineRule="auto"/>
        <w:rPr>
          <w:bCs/>
          <w:spacing w:val="5"/>
          <w:sz w:val="22"/>
          <w:szCs w:val="22"/>
          <w:lang w:val="hr-HR"/>
        </w:rPr>
      </w:pPr>
      <w:r w:rsidRPr="00037505">
        <w:rPr>
          <w:bCs/>
          <w:spacing w:val="5"/>
          <w:sz w:val="22"/>
          <w:szCs w:val="22"/>
          <w:lang w:val="hr-HR"/>
        </w:rPr>
        <w:t>Pravno zaštititi najmanje 30% kopnenog područja EU i 30% morskog područja EU i integrirati ekološke koridore za izgradnju skladne, otporne i ekološki reprezentativne Transeuropske mreže prirode - uloga korisnika zemljišta i vlasnika ili njihovo prihvaćanje u postupku imenovanja ne spominje se. EK želi biti vrlo propisan i razvit će kriterije i smjernice za identifikaciju i imenovanje dodatnih područja, iznijeti kriterije za adekvatno planiranje upravljanja i pravnu zaštitu područja, uključujući definiciju stroge zaštite, objasniti kako druga učinkovita područja mjere očuvanja temeljene na istim ciljevima kao i zaštićena područja mogu se računati u postizanje predloženih ciljeva (na temelju teksta ta područja još uvijek spadaju u pravnu zaštitu ako su uključena ispod 30%).</w:t>
      </w:r>
    </w:p>
    <w:p w14:paraId="7A40F6E2" w14:textId="699F624A" w:rsidR="00037505" w:rsidRPr="00037505" w:rsidRDefault="00037505" w:rsidP="00037505">
      <w:pPr>
        <w:numPr>
          <w:ilvl w:val="2"/>
          <w:numId w:val="1"/>
        </w:numPr>
        <w:spacing w:after="120" w:line="240" w:lineRule="auto"/>
        <w:rPr>
          <w:bCs/>
          <w:spacing w:val="5"/>
          <w:sz w:val="22"/>
          <w:szCs w:val="22"/>
          <w:lang w:val="hr-HR"/>
        </w:rPr>
      </w:pPr>
      <w:r w:rsidRPr="00037505">
        <w:rPr>
          <w:bCs/>
          <w:spacing w:val="5"/>
          <w:sz w:val="22"/>
          <w:szCs w:val="22"/>
          <w:lang w:val="hr-HR"/>
        </w:rPr>
        <w:t>Strog</w:t>
      </w:r>
      <w:r>
        <w:rPr>
          <w:bCs/>
          <w:spacing w:val="5"/>
          <w:sz w:val="22"/>
          <w:szCs w:val="22"/>
          <w:lang w:val="hr-HR"/>
        </w:rPr>
        <w:t>u</w:t>
      </w:r>
      <w:r w:rsidRPr="00037505">
        <w:rPr>
          <w:bCs/>
          <w:spacing w:val="5"/>
          <w:sz w:val="22"/>
          <w:szCs w:val="22"/>
          <w:lang w:val="hr-HR"/>
        </w:rPr>
        <w:t xml:space="preserve"> zaštit</w:t>
      </w:r>
      <w:r>
        <w:rPr>
          <w:bCs/>
          <w:spacing w:val="5"/>
          <w:sz w:val="22"/>
          <w:szCs w:val="22"/>
          <w:lang w:val="hr-HR"/>
        </w:rPr>
        <w:t>u</w:t>
      </w:r>
      <w:r w:rsidRPr="00037505">
        <w:rPr>
          <w:bCs/>
          <w:spacing w:val="5"/>
          <w:sz w:val="22"/>
          <w:szCs w:val="22"/>
          <w:lang w:val="hr-HR"/>
        </w:rPr>
        <w:t xml:space="preserve"> najmanje 1/3 zaštićenih područja EU (10% na kopnu i 10% u moru), pokrivajući područja vrlo visoke vrijednosti ili potencijala biološke raznolikosti na kopnu i moru, uključujući definiranje, </w:t>
      </w:r>
      <w:proofErr w:type="spellStart"/>
      <w:r w:rsidRPr="00037505">
        <w:rPr>
          <w:bCs/>
          <w:spacing w:val="5"/>
          <w:sz w:val="22"/>
          <w:szCs w:val="22"/>
          <w:lang w:val="hr-HR"/>
        </w:rPr>
        <w:t>mapiranje</w:t>
      </w:r>
      <w:proofErr w:type="spellEnd"/>
      <w:r w:rsidRPr="00037505">
        <w:rPr>
          <w:bCs/>
          <w:spacing w:val="5"/>
          <w:sz w:val="22"/>
          <w:szCs w:val="22"/>
          <w:lang w:val="hr-HR"/>
        </w:rPr>
        <w:t>, nadgledanje i strogo zaštitu svih preostale primarne šume EU.</w:t>
      </w:r>
    </w:p>
    <w:p w14:paraId="294C4483" w14:textId="3C6DC210" w:rsidR="00037505" w:rsidRPr="00037505" w:rsidRDefault="00037505" w:rsidP="00037505">
      <w:pPr>
        <w:numPr>
          <w:ilvl w:val="2"/>
          <w:numId w:val="1"/>
        </w:numPr>
        <w:spacing w:after="120" w:line="240" w:lineRule="auto"/>
        <w:rPr>
          <w:bCs/>
          <w:spacing w:val="5"/>
          <w:sz w:val="22"/>
          <w:szCs w:val="22"/>
          <w:lang w:val="hr-HR"/>
        </w:rPr>
      </w:pPr>
      <w:r w:rsidRPr="00037505">
        <w:rPr>
          <w:bCs/>
          <w:spacing w:val="5"/>
          <w:sz w:val="22"/>
          <w:szCs w:val="22"/>
          <w:lang w:val="hr-HR"/>
        </w:rPr>
        <w:t>U 2021. predlažu se obvezujući ciljevi za obnovu prirode EU-a i obnavljaju se značajna područja degradiranih ekosustava bogatih i ugljikom preko kopna i mora..</w:t>
      </w:r>
    </w:p>
    <w:p w14:paraId="6DED0FF5" w14:textId="3A5C818B" w:rsidR="00037505" w:rsidRPr="00037505" w:rsidRDefault="00037505" w:rsidP="00037505">
      <w:pPr>
        <w:numPr>
          <w:ilvl w:val="2"/>
          <w:numId w:val="1"/>
        </w:numPr>
        <w:spacing w:after="120" w:line="240" w:lineRule="auto"/>
        <w:rPr>
          <w:bCs/>
          <w:spacing w:val="5"/>
          <w:sz w:val="22"/>
          <w:szCs w:val="22"/>
          <w:lang w:val="hr-HR"/>
        </w:rPr>
      </w:pPr>
      <w:r w:rsidRPr="00037505">
        <w:rPr>
          <w:bCs/>
          <w:spacing w:val="5"/>
          <w:sz w:val="22"/>
          <w:szCs w:val="22"/>
          <w:lang w:val="hr-HR"/>
        </w:rPr>
        <w:t>Staništa i vrste u skladu sa direktivama o staništima i pticama ne pokazuju pogoršanje trendova i statusa očuvanja. Najmanje 30% onih koji nisu u povoljnom statusu očuvanja dostići će takav status ili barem pokazati pozitivan trend - nema reference na utjecaj klimatskih promjena, poteškoće u usporedbi dva izvještajna razdoblja (što je prava promjena) ili zahtjevima članka 2.3. Direktive o staništima.</w:t>
      </w:r>
    </w:p>
    <w:p w14:paraId="70F6E1F4" w14:textId="501CD58A" w:rsidR="00BD3253" w:rsidRPr="00037505" w:rsidRDefault="00037505" w:rsidP="00037505">
      <w:pPr>
        <w:numPr>
          <w:ilvl w:val="2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037505">
        <w:rPr>
          <w:bCs/>
          <w:spacing w:val="5"/>
          <w:sz w:val="22"/>
          <w:szCs w:val="22"/>
          <w:lang w:val="hr-HR"/>
        </w:rPr>
        <w:t>Pad oprašivača je obrnut</w:t>
      </w:r>
      <w:r w:rsidR="00BD3253" w:rsidRPr="00037505">
        <w:rPr>
          <w:spacing w:val="5"/>
          <w:sz w:val="22"/>
          <w:szCs w:val="22"/>
          <w:lang w:val="hr-HR"/>
        </w:rPr>
        <w:t>.</w:t>
      </w:r>
    </w:p>
    <w:p w14:paraId="79AD5F8B" w14:textId="77777777" w:rsidR="00037505" w:rsidRPr="00037505" w:rsidRDefault="00037505" w:rsidP="00037505">
      <w:pPr>
        <w:numPr>
          <w:ilvl w:val="2"/>
          <w:numId w:val="1"/>
        </w:numPr>
        <w:spacing w:after="120" w:line="240" w:lineRule="auto"/>
        <w:rPr>
          <w:bCs/>
          <w:spacing w:val="5"/>
          <w:sz w:val="22"/>
          <w:szCs w:val="22"/>
          <w:lang w:val="hr-HR"/>
        </w:rPr>
      </w:pPr>
      <w:r w:rsidRPr="00037505">
        <w:rPr>
          <w:bCs/>
          <w:spacing w:val="5"/>
          <w:sz w:val="22"/>
          <w:szCs w:val="22"/>
          <w:lang w:val="hr-HR"/>
        </w:rPr>
        <w:t>Rizik i upotreba kemijskih pesticida smanjuju se za 50%, a upotreba visoko rizičnih pesticida smanjuje se za 50% - ne spominje se društveno-ekonomske posljedice, alternative ili utjecaj prinosa.</w:t>
      </w:r>
    </w:p>
    <w:p w14:paraId="2C90887F" w14:textId="0EB6C208" w:rsidR="00BD3253" w:rsidRPr="00037505" w:rsidRDefault="00037505" w:rsidP="00037505">
      <w:pPr>
        <w:numPr>
          <w:ilvl w:val="2"/>
          <w:numId w:val="1"/>
        </w:numPr>
        <w:spacing w:after="120" w:line="240" w:lineRule="auto"/>
        <w:rPr>
          <w:bCs/>
          <w:spacing w:val="5"/>
          <w:sz w:val="22"/>
          <w:szCs w:val="22"/>
          <w:lang w:val="hr-HR"/>
        </w:rPr>
      </w:pPr>
      <w:r w:rsidRPr="00037505">
        <w:rPr>
          <w:bCs/>
          <w:spacing w:val="5"/>
          <w:sz w:val="22"/>
          <w:szCs w:val="22"/>
          <w:lang w:val="hr-HR"/>
        </w:rPr>
        <w:t xml:space="preserve">Najmanje 10% poljoprivrednog zemljišta koje se koristi nalazi se u pejzažima velike raznolikosti, poput područja s zaštitnim trakama, </w:t>
      </w:r>
      <w:r w:rsidRPr="00037505">
        <w:rPr>
          <w:bCs/>
          <w:spacing w:val="5"/>
          <w:sz w:val="22"/>
          <w:szCs w:val="22"/>
          <w:lang w:val="hr-HR"/>
        </w:rPr>
        <w:lastRenderedPageBreak/>
        <w:t xml:space="preserve">rotacijskim ili ne rotacijskim padinama ili krajobraznim značajkama (živice, neproduktivna stabla, zidovi terasa, bare, itd.) - Iako je cilj postavljen na razini EU, države članice trebale bi ga prevesti na niži geografski nivo kako bi se osigurala povezanost među staništima, uključujući primjenu Direktive o staništima i instrumenata Zajedničke poljoprivredne politike (poput poljoprivredne prakse i standardi poznati kao "dobri poljoprivredni i okolišni uvjeti" (GAEC) ili druge intervencije </w:t>
      </w:r>
      <w:r>
        <w:rPr>
          <w:bCs/>
          <w:spacing w:val="5"/>
          <w:sz w:val="22"/>
          <w:szCs w:val="22"/>
          <w:lang w:val="hr-HR"/>
        </w:rPr>
        <w:t>ZPP</w:t>
      </w:r>
      <w:r w:rsidRPr="00037505">
        <w:rPr>
          <w:bCs/>
          <w:spacing w:val="5"/>
          <w:sz w:val="22"/>
          <w:szCs w:val="22"/>
          <w:lang w:val="hr-HR"/>
        </w:rPr>
        <w:t>-a)</w:t>
      </w:r>
      <w:r w:rsidR="00C50CF0" w:rsidRPr="00037505">
        <w:rPr>
          <w:bCs/>
          <w:spacing w:val="5"/>
          <w:sz w:val="22"/>
          <w:szCs w:val="22"/>
          <w:lang w:val="hr-HR"/>
        </w:rPr>
        <w:t>.</w:t>
      </w:r>
    </w:p>
    <w:p w14:paraId="18A733D6" w14:textId="77777777" w:rsidR="00037505" w:rsidRPr="00037505" w:rsidRDefault="00037505" w:rsidP="00037505">
      <w:pPr>
        <w:numPr>
          <w:ilvl w:val="2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037505">
        <w:rPr>
          <w:spacing w:val="5"/>
          <w:sz w:val="22"/>
          <w:szCs w:val="22"/>
          <w:lang w:val="hr-HR"/>
        </w:rPr>
        <w:t>Primjena agroekoloških praksi je značajno povećana i najmanje 25% poljoprivrednog zemljišta je pod upravljanjem organskim uzgojem - naznačeno je da ekološka poljoprivreda pruža 10-20% više radnih mjesta po zemljištu od konvencionalnih poljoprivrednih gospodarstava, privlačnija je mladima poljoprivrednika i stvara dodanu vrijednost za poljoprivredne proizvode. Međutim, ne spominje se činjenica da su prinosi obično niži.</w:t>
      </w:r>
    </w:p>
    <w:p w14:paraId="617C44F3" w14:textId="198775A0" w:rsidR="00037505" w:rsidRPr="00037505" w:rsidRDefault="00037505" w:rsidP="00037505">
      <w:pPr>
        <w:numPr>
          <w:ilvl w:val="2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037505">
        <w:rPr>
          <w:spacing w:val="5"/>
          <w:sz w:val="22"/>
          <w:szCs w:val="22"/>
          <w:lang w:val="hr-HR"/>
        </w:rPr>
        <w:t>U EU je zasađeno tri milijarde novih stabala, u potpunosti poštujući ekološke principe pogodne biološkoj raznolikosti i otpornosti šuma.</w:t>
      </w:r>
    </w:p>
    <w:p w14:paraId="776DFE8F" w14:textId="451F2ABB" w:rsidR="00037505" w:rsidRPr="00037505" w:rsidRDefault="00037505" w:rsidP="00037505">
      <w:pPr>
        <w:numPr>
          <w:ilvl w:val="2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037505">
        <w:rPr>
          <w:spacing w:val="5"/>
          <w:sz w:val="22"/>
          <w:szCs w:val="22"/>
          <w:lang w:val="hr-HR"/>
        </w:rPr>
        <w:t>Dostignut će značajan napredak u identifikaciji i sanaciji zagađenih tla - postoji namjera definiranja uvjeta za njihovo dobro ekološko stanje, uvođenja ciljeva obnove i poboljšanja praćenja kakvoće tla, možda kao dijela nove pravne norme EU okvir za obnovu zdravih ekosustava. Ovo bi mogao biti pokušaj pokretanja ciljeva odbačene Direktive o tlima.</w:t>
      </w:r>
    </w:p>
    <w:p w14:paraId="2958F482" w14:textId="29CAE141" w:rsidR="00BD3253" w:rsidRPr="00037505" w:rsidRDefault="00037505" w:rsidP="00037505">
      <w:pPr>
        <w:numPr>
          <w:ilvl w:val="2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037505">
        <w:rPr>
          <w:spacing w:val="5"/>
          <w:sz w:val="22"/>
          <w:szCs w:val="22"/>
          <w:lang w:val="hr-HR"/>
        </w:rPr>
        <w:t>Najmanje 25 000 km rijeka bez protoka će biti obnovljeno uklanjanjem zapreka i obnavljanjem poplavnih područja. Vlasti država članica trebale bi pregledati otjecanje vode i dozvola za zadržavanje obnove ekoloških tokova kako bi se postiglo dobro stanje ili potencijal svih površinskih voda i dobro stanje svih podzemnih voda najkasnije do 2027. - međutim, na temelju rasprave tijekom provjere prikladnosti Okvirne direktive o vodama, jasno je da se taj rok ne može doseći</w:t>
      </w:r>
      <w:r w:rsidR="00506FF6" w:rsidRPr="00037505">
        <w:rPr>
          <w:spacing w:val="5"/>
          <w:sz w:val="22"/>
          <w:szCs w:val="22"/>
          <w:lang w:val="hr-HR"/>
        </w:rPr>
        <w:t xml:space="preserve">. </w:t>
      </w:r>
    </w:p>
    <w:p w14:paraId="3FC567B2" w14:textId="7A13270D" w:rsidR="00523792" w:rsidRPr="00523792" w:rsidRDefault="00523792" w:rsidP="00523792">
      <w:pPr>
        <w:numPr>
          <w:ilvl w:val="2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523792">
        <w:rPr>
          <w:spacing w:val="5"/>
          <w:sz w:val="22"/>
          <w:szCs w:val="22"/>
          <w:lang w:val="hr-HR"/>
        </w:rPr>
        <w:t>Uvođenje invazivnih stranih vrsta bit će značajno ograničeno i doći će do 50% smanjenja vrsta Crvenog popisa ugroženih invazivnim stranim vrstama.</w:t>
      </w:r>
    </w:p>
    <w:p w14:paraId="1327FB8C" w14:textId="4BCE0A5E" w:rsidR="00523792" w:rsidRPr="00523792" w:rsidRDefault="00523792" w:rsidP="00523792">
      <w:pPr>
        <w:numPr>
          <w:ilvl w:val="2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523792">
        <w:rPr>
          <w:spacing w:val="5"/>
          <w:sz w:val="22"/>
          <w:szCs w:val="22"/>
          <w:lang w:val="hr-HR"/>
        </w:rPr>
        <w:t>Gubici hranjivih sastojaka smanjit će se za najmanje 50%, istovremeno osiguravajući ne pogoršanje plodnosti tla (smanjenje upotrebe gnojiva za najmanje 20%).</w:t>
      </w:r>
    </w:p>
    <w:p w14:paraId="3DE6B65E" w14:textId="292CB4C9" w:rsidR="00523792" w:rsidRDefault="00523792" w:rsidP="00523792">
      <w:pPr>
        <w:numPr>
          <w:ilvl w:val="2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523792">
        <w:rPr>
          <w:spacing w:val="5"/>
          <w:sz w:val="22"/>
          <w:szCs w:val="22"/>
          <w:lang w:val="hr-HR"/>
        </w:rPr>
        <w:t xml:space="preserve">Komisija je uključila sljedeće pozivanje na RED: Zbog potrebe za ublažavanjem rizika od klime i biološke raznolikosti koje stvara sve veća upotreba određenih izvora za bioenergiju, revidirana Direktiva o obnovljivim izvorima energije uključuje ojačane kriterije održivosti i promiče prelazak na napredna </w:t>
      </w:r>
      <w:proofErr w:type="spellStart"/>
      <w:r w:rsidRPr="00523792">
        <w:rPr>
          <w:spacing w:val="5"/>
          <w:sz w:val="22"/>
          <w:szCs w:val="22"/>
          <w:lang w:val="hr-HR"/>
        </w:rPr>
        <w:t>biogoriva</w:t>
      </w:r>
      <w:proofErr w:type="spellEnd"/>
      <w:r w:rsidRPr="00523792">
        <w:rPr>
          <w:spacing w:val="5"/>
          <w:sz w:val="22"/>
          <w:szCs w:val="22"/>
          <w:lang w:val="hr-HR"/>
        </w:rPr>
        <w:t xml:space="preserve"> na temelju ostataka i otpad koji se ne može ponovno koristiti i koji se ne može reciklirati. Ovaj </w:t>
      </w:r>
      <w:proofErr w:type="spellStart"/>
      <w:r w:rsidRPr="00523792">
        <w:rPr>
          <w:spacing w:val="5"/>
          <w:sz w:val="22"/>
          <w:szCs w:val="22"/>
          <w:lang w:val="hr-HR"/>
        </w:rPr>
        <w:t>transformativni</w:t>
      </w:r>
      <w:proofErr w:type="spellEnd"/>
      <w:r w:rsidRPr="00523792">
        <w:rPr>
          <w:spacing w:val="5"/>
          <w:sz w:val="22"/>
          <w:szCs w:val="22"/>
          <w:lang w:val="hr-HR"/>
        </w:rPr>
        <w:t xml:space="preserve"> pristup trebao bi se nastaviti u svim oblicima bioenergije, a upotreba cijelih stabala te usjeva hrane i hrane za životinje, bilo da su proizvedeni u EU ili uvezeni, za proizvodnju energije treba biti </w:t>
      </w:r>
      <w:proofErr w:type="spellStart"/>
      <w:r w:rsidRPr="00523792">
        <w:rPr>
          <w:spacing w:val="5"/>
          <w:sz w:val="22"/>
          <w:szCs w:val="22"/>
          <w:lang w:val="hr-HR"/>
        </w:rPr>
        <w:t>smanjena.</w:t>
      </w:r>
    </w:p>
    <w:p w14:paraId="24D0FE98" w14:textId="0A080361" w:rsidR="00523792" w:rsidRPr="00523792" w:rsidRDefault="00523792" w:rsidP="00523792">
      <w:pPr>
        <w:numPr>
          <w:ilvl w:val="2"/>
          <w:numId w:val="1"/>
        </w:numPr>
        <w:spacing w:after="120" w:line="240" w:lineRule="auto"/>
        <w:rPr>
          <w:bCs/>
          <w:spacing w:val="5"/>
          <w:sz w:val="22"/>
          <w:szCs w:val="22"/>
          <w:lang w:val="hr-HR"/>
        </w:rPr>
      </w:pPr>
      <w:proofErr w:type="spellEnd"/>
      <w:r w:rsidRPr="00523792">
        <w:rPr>
          <w:bCs/>
          <w:spacing w:val="5"/>
          <w:sz w:val="22"/>
          <w:szCs w:val="22"/>
          <w:lang w:val="hr-HR"/>
        </w:rPr>
        <w:t xml:space="preserve">Udio šumskih područja pokrivenih planovima upravljanja, uključujući prakse prilagođene biološkoj raznolikosti, poput šumarstva bliže prirodi, trebao bi se proširiti kako bi obuhvatio sve upravljane javne šume i značajno povećao privatne šume. Na temelju postojećeg iskustva i saznanja o politikama, Komisija će </w:t>
      </w:r>
      <w:r w:rsidRPr="00523792">
        <w:rPr>
          <w:bCs/>
          <w:spacing w:val="5"/>
          <w:sz w:val="22"/>
          <w:szCs w:val="22"/>
          <w:lang w:val="hr-HR"/>
        </w:rPr>
        <w:lastRenderedPageBreak/>
        <w:t>predstaviti, zajedno s nadolazećom EU šumskom strategijom, pregled trenutnih smjernica o pošumljavanju biološke raznolikosti i pošumljavanju kao dijelu održivog gospodarenja šumama.</w:t>
      </w:r>
    </w:p>
    <w:p w14:paraId="00C3C917" w14:textId="77777777" w:rsidR="00523792" w:rsidRPr="00523792" w:rsidRDefault="00523792" w:rsidP="00523792">
      <w:pPr>
        <w:numPr>
          <w:ilvl w:val="2"/>
          <w:numId w:val="1"/>
        </w:numPr>
        <w:spacing w:after="120" w:line="240" w:lineRule="auto"/>
        <w:rPr>
          <w:bCs/>
          <w:spacing w:val="5"/>
          <w:sz w:val="22"/>
          <w:szCs w:val="22"/>
          <w:lang w:val="hr-HR"/>
        </w:rPr>
      </w:pPr>
      <w:r w:rsidRPr="00523792">
        <w:rPr>
          <w:bCs/>
          <w:spacing w:val="5"/>
          <w:sz w:val="22"/>
          <w:szCs w:val="22"/>
          <w:lang w:val="hr-HR"/>
        </w:rPr>
        <w:t>Postoji nekoliko referenci na turizam kao jednu od mogućnosti i kao izvor poslova povezanih sa zaštićenim područjima bez prepoznavanja visokog utjecaja na okoliš i ugljika u turističkoj industriji. Između 2009. i 2013., turistički globalni otisak ugljika povećao se sa 3,9 na 4,5 GtCO2e, četiri puta više nego što je ranije procijenjeno, a čini oko 8% globalne emisije stakleničkih plinova.</w:t>
      </w:r>
    </w:p>
    <w:p w14:paraId="72062FD9" w14:textId="23A99593" w:rsidR="00523792" w:rsidRPr="00523792" w:rsidRDefault="00523792" w:rsidP="00523792">
      <w:pPr>
        <w:numPr>
          <w:ilvl w:val="2"/>
          <w:numId w:val="1"/>
        </w:numPr>
        <w:spacing w:after="120" w:line="240" w:lineRule="auto"/>
        <w:rPr>
          <w:bCs/>
          <w:spacing w:val="5"/>
          <w:sz w:val="22"/>
          <w:szCs w:val="22"/>
          <w:lang w:val="hr-HR"/>
        </w:rPr>
      </w:pPr>
      <w:r w:rsidRPr="00523792">
        <w:rPr>
          <w:bCs/>
          <w:spacing w:val="5"/>
          <w:sz w:val="22"/>
          <w:szCs w:val="22"/>
          <w:lang w:val="hr-HR"/>
        </w:rPr>
        <w:t xml:space="preserve">Komisija će dalje promovirati porezne sustave i cijene tako da odražavaju stvarne troškove zaštite okoliša, uključujući troškove gubitka biološke raznolikosti. To bi trebalo uključivati </w:t>
      </w:r>
      <w:r w:rsidRPr="00523792">
        <w:rPr>
          <w:rFonts w:ascii="Times New Roman" w:hAnsi="Times New Roman"/>
          <w:bCs/>
          <w:spacing w:val="5"/>
          <w:sz w:val="22"/>
          <w:szCs w:val="22"/>
          <w:lang w:val="hr-HR"/>
        </w:rPr>
        <w:t>​​</w:t>
      </w:r>
      <w:r w:rsidRPr="00523792">
        <w:rPr>
          <w:bCs/>
          <w:spacing w:val="5"/>
          <w:sz w:val="22"/>
          <w:szCs w:val="22"/>
          <w:lang w:val="hr-HR"/>
        </w:rPr>
        <w:t>poticanje promjena u fiskalnim sustavima kako bi države članice prebacile porezni teret s radne snage na onečišćenje, podcijenjene resurse i druge vanjske okolnosti. Prema tekstu, načela „korisnik plaća“ i „zagađivač plaća“ moraju se primijeniti za sprečavanje i ispravljanje propadanja okoliša.</w:t>
      </w:r>
    </w:p>
    <w:p w14:paraId="3A6DB7E6" w14:textId="068A8440" w:rsidR="00301492" w:rsidRPr="00037505" w:rsidRDefault="00523792" w:rsidP="00523792">
      <w:pPr>
        <w:numPr>
          <w:ilvl w:val="2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523792">
        <w:rPr>
          <w:bCs/>
          <w:spacing w:val="5"/>
          <w:sz w:val="22"/>
          <w:szCs w:val="22"/>
          <w:lang w:val="hr-HR"/>
        </w:rPr>
        <w:t xml:space="preserve">Komisija će podržati ulogu civilnog društva kao nadzornika poštivanja zakona, poboljšavajući pristup nacionalnim sudovima u pitanjima zaštite okoliša kroz nadolazeću revidiranu </w:t>
      </w:r>
      <w:proofErr w:type="spellStart"/>
      <w:r w:rsidRPr="00523792">
        <w:rPr>
          <w:bCs/>
          <w:spacing w:val="5"/>
          <w:sz w:val="22"/>
          <w:szCs w:val="22"/>
          <w:lang w:val="hr-HR"/>
        </w:rPr>
        <w:t>Arhušku</w:t>
      </w:r>
      <w:proofErr w:type="spellEnd"/>
      <w:r w:rsidRPr="00523792">
        <w:rPr>
          <w:bCs/>
          <w:spacing w:val="5"/>
          <w:sz w:val="22"/>
          <w:szCs w:val="22"/>
          <w:lang w:val="hr-HR"/>
        </w:rPr>
        <w:t xml:space="preserve"> uredbu</w:t>
      </w:r>
      <w:r w:rsidR="00301492" w:rsidRPr="00037505">
        <w:rPr>
          <w:spacing w:val="5"/>
          <w:sz w:val="22"/>
          <w:szCs w:val="22"/>
          <w:lang w:val="hr-HR"/>
        </w:rPr>
        <w:t>.</w:t>
      </w:r>
    </w:p>
    <w:p w14:paraId="68977D48" w14:textId="544FADBF" w:rsidR="00523792" w:rsidRPr="00523792" w:rsidRDefault="00523792" w:rsidP="00523792">
      <w:pPr>
        <w:numPr>
          <w:ilvl w:val="1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523792">
        <w:rPr>
          <w:spacing w:val="5"/>
          <w:sz w:val="22"/>
          <w:szCs w:val="22"/>
          <w:lang w:val="hr-HR"/>
        </w:rPr>
        <w:t>Veza s COVID-19 ne nedostaje i spominje se u cijelom tekstu.</w:t>
      </w:r>
    </w:p>
    <w:p w14:paraId="16AE2487" w14:textId="39530D85" w:rsidR="00523792" w:rsidRPr="00523792" w:rsidRDefault="00523792" w:rsidP="00523792">
      <w:pPr>
        <w:numPr>
          <w:ilvl w:val="1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523792">
        <w:rPr>
          <w:spacing w:val="5"/>
          <w:sz w:val="22"/>
          <w:szCs w:val="22"/>
          <w:lang w:val="hr-HR"/>
        </w:rPr>
        <w:t>Općenito, Komisija se zalaže za preveliku regulaciju i uklanja fleksibilnost iz država članica (s planovima pružanja puno smjernica i kriterija za različite elemente).</w:t>
      </w:r>
    </w:p>
    <w:p w14:paraId="31BBFBB4" w14:textId="575D4584" w:rsidR="00523792" w:rsidRPr="00523792" w:rsidRDefault="00523792" w:rsidP="00523792">
      <w:pPr>
        <w:numPr>
          <w:ilvl w:val="1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523792">
        <w:rPr>
          <w:spacing w:val="5"/>
          <w:sz w:val="22"/>
          <w:szCs w:val="22"/>
          <w:lang w:val="hr-HR"/>
        </w:rPr>
        <w:t>Iako spominju da "ova strategija predlaže cjelovitiji pristup politici biološke raznolikosti" i da su joj "u središtu poljoprivrednici, ribari, šumari, vlasnici zemljišta i korisnici", predloženi ciljevi i mjere ne podržavaju ove tvrdnje ( ako ništa, zapravo su nevladine organizacije u srcu strategije).</w:t>
      </w:r>
    </w:p>
    <w:p w14:paraId="13077D19" w14:textId="3E261B43" w:rsidR="008E4ED0" w:rsidRPr="00037505" w:rsidRDefault="00523792" w:rsidP="00523792">
      <w:pPr>
        <w:numPr>
          <w:ilvl w:val="1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523792">
        <w:rPr>
          <w:spacing w:val="5"/>
          <w:sz w:val="22"/>
          <w:szCs w:val="22"/>
          <w:lang w:val="hr-HR"/>
        </w:rPr>
        <w:t>Poljoprivrednici i vlasnici šuma očito su jedini koji su dodatno opterećeni novim mjerama (čak i potencijalni zagađivač plaća porez) i bez ikakvih alternativnih alata (uključujući nove tehnologije</w:t>
      </w:r>
      <w:r w:rsidR="005844BC" w:rsidRPr="00037505">
        <w:rPr>
          <w:spacing w:val="5"/>
          <w:sz w:val="22"/>
          <w:szCs w:val="22"/>
          <w:lang w:val="hr-HR"/>
        </w:rPr>
        <w:t xml:space="preserve">). </w:t>
      </w:r>
    </w:p>
    <w:p w14:paraId="2156D7F7" w14:textId="3EACFBD5" w:rsidR="005844BC" w:rsidRPr="00037505" w:rsidRDefault="00523792" w:rsidP="00F50F33">
      <w:pPr>
        <w:pStyle w:val="ListParagraph"/>
        <w:numPr>
          <w:ilvl w:val="0"/>
          <w:numId w:val="1"/>
        </w:numPr>
        <w:spacing w:after="120" w:line="240" w:lineRule="auto"/>
        <w:rPr>
          <w:spacing w:val="5"/>
          <w:sz w:val="22"/>
          <w:szCs w:val="22"/>
          <w:lang w:val="hr-HR"/>
        </w:rPr>
      </w:pPr>
      <w:r w:rsidRPr="00523792">
        <w:rPr>
          <w:spacing w:val="5"/>
          <w:sz w:val="22"/>
          <w:szCs w:val="22"/>
          <w:lang w:val="hr-HR"/>
        </w:rPr>
        <w:t>Pozivamo članove da kontaktiraju svoje nacionalne vlade i odgovarajuće povjerenike i koriste naša prethodno poslana pisma o strategiji (vidi dolje) kao prateću dokumentaciju</w:t>
      </w:r>
      <w:r w:rsidR="005844BC" w:rsidRPr="00037505">
        <w:rPr>
          <w:spacing w:val="5"/>
          <w:sz w:val="22"/>
          <w:szCs w:val="22"/>
          <w:lang w:val="hr-HR"/>
        </w:rPr>
        <w:t xml:space="preserve">. </w:t>
      </w:r>
    </w:p>
    <w:p w14:paraId="1BA7D4D5" w14:textId="77777777" w:rsidR="00F50F33" w:rsidRPr="00037505" w:rsidRDefault="00F50F33">
      <w:pPr>
        <w:rPr>
          <w:spacing w:val="5"/>
          <w:sz w:val="22"/>
          <w:szCs w:val="22"/>
          <w:lang w:val="hr-HR"/>
        </w:rPr>
      </w:pPr>
    </w:p>
    <w:p w14:paraId="109CA867" w14:textId="7BE2793B" w:rsidR="00506F72" w:rsidRPr="00037505" w:rsidRDefault="00523792">
      <w:pPr>
        <w:rPr>
          <w:sz w:val="22"/>
          <w:szCs w:val="22"/>
          <w:lang w:val="hr-HR"/>
        </w:rPr>
      </w:pPr>
      <w:r w:rsidRPr="00523792">
        <w:rPr>
          <w:sz w:val="22"/>
          <w:szCs w:val="22"/>
          <w:lang w:val="hr-HR"/>
        </w:rPr>
        <w:t>Pozadina dokumenata</w:t>
      </w:r>
      <w:r w:rsidR="004821E2" w:rsidRPr="00037505">
        <w:rPr>
          <w:sz w:val="22"/>
          <w:szCs w:val="22"/>
          <w:lang w:val="hr-HR"/>
        </w:rPr>
        <w:t>:</w:t>
      </w:r>
    </w:p>
    <w:p w14:paraId="64F533A9" w14:textId="77777777" w:rsidR="004821E2" w:rsidRPr="00037505" w:rsidRDefault="00523792">
      <w:pPr>
        <w:rPr>
          <w:bCs/>
          <w:sz w:val="22"/>
          <w:szCs w:val="22"/>
          <w:lang w:val="hr-HR"/>
        </w:rPr>
      </w:pPr>
      <w:hyperlink r:id="rId5" w:history="1">
        <w:r w:rsidR="004821E2" w:rsidRPr="00037505">
          <w:rPr>
            <w:rStyle w:val="Hyperlink"/>
            <w:bCs/>
            <w:sz w:val="22"/>
            <w:szCs w:val="22"/>
            <w:lang w:val="hr-HR"/>
          </w:rPr>
          <w:t>CC(20)1222:1</w:t>
        </w:r>
      </w:hyperlink>
    </w:p>
    <w:p w14:paraId="2DCBB5BC" w14:textId="77777777" w:rsidR="004821E2" w:rsidRPr="00037505" w:rsidRDefault="00523792">
      <w:pPr>
        <w:rPr>
          <w:sz w:val="22"/>
          <w:szCs w:val="22"/>
          <w:lang w:val="hr-HR"/>
        </w:rPr>
      </w:pPr>
      <w:hyperlink r:id="rId6" w:tgtFrame="_blank" w:history="1">
        <w:r w:rsidR="004821E2" w:rsidRPr="00037505">
          <w:rPr>
            <w:rStyle w:val="Hyperlink"/>
            <w:sz w:val="22"/>
            <w:szCs w:val="22"/>
            <w:lang w:val="hr-HR"/>
          </w:rPr>
          <w:t>CC(20)1825 (rev.1)</w:t>
        </w:r>
      </w:hyperlink>
    </w:p>
    <w:p w14:paraId="7B07B0E1" w14:textId="727F5F1F" w:rsidR="004821E2" w:rsidRPr="00037505" w:rsidRDefault="00523792">
      <w:pPr>
        <w:rPr>
          <w:sz w:val="22"/>
          <w:szCs w:val="22"/>
          <w:lang w:val="hr-HR"/>
        </w:rPr>
      </w:pPr>
      <w:hyperlink r:id="rId7" w:tgtFrame="_blank" w:history="1">
        <w:r w:rsidR="004821E2" w:rsidRPr="00037505">
          <w:rPr>
            <w:rStyle w:val="Hyperlink"/>
            <w:sz w:val="22"/>
            <w:szCs w:val="22"/>
            <w:lang w:val="hr-HR"/>
          </w:rPr>
          <w:t>EN(20)1844 (rev.1)</w:t>
        </w:r>
      </w:hyperlink>
      <w:r w:rsidR="00C60CDC" w:rsidRPr="00037505">
        <w:rPr>
          <w:sz w:val="22"/>
          <w:szCs w:val="22"/>
          <w:lang w:val="hr-HR"/>
        </w:rPr>
        <w:t xml:space="preserve"> – </w:t>
      </w:r>
      <w:r w:rsidRPr="00523792">
        <w:rPr>
          <w:sz w:val="22"/>
          <w:szCs w:val="22"/>
          <w:lang w:val="hr-HR"/>
        </w:rPr>
        <w:t>Napomena: Analiza je za prethodni nacrt Strategije biološke raznolikosti, ali većina je elemenata i dalje relevantna</w:t>
      </w:r>
      <w:bookmarkStart w:id="0" w:name="_GoBack"/>
      <w:bookmarkEnd w:id="0"/>
      <w:r w:rsidR="00C60CDC" w:rsidRPr="00037505">
        <w:rPr>
          <w:sz w:val="22"/>
          <w:szCs w:val="22"/>
          <w:lang w:val="hr-HR"/>
        </w:rPr>
        <w:t xml:space="preserve">. </w:t>
      </w:r>
    </w:p>
    <w:sectPr w:rsidR="004821E2" w:rsidRPr="0003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D0177"/>
    <w:multiLevelType w:val="hybridMultilevel"/>
    <w:tmpl w:val="79346524"/>
    <w:lvl w:ilvl="0" w:tplc="8402C63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BC"/>
    <w:rsid w:val="00037505"/>
    <w:rsid w:val="000A717B"/>
    <w:rsid w:val="00115BAD"/>
    <w:rsid w:val="00123E58"/>
    <w:rsid w:val="001B70AB"/>
    <w:rsid w:val="002B248D"/>
    <w:rsid w:val="00301492"/>
    <w:rsid w:val="004821E2"/>
    <w:rsid w:val="00506F72"/>
    <w:rsid w:val="00506FF6"/>
    <w:rsid w:val="00523792"/>
    <w:rsid w:val="005844BC"/>
    <w:rsid w:val="007E6415"/>
    <w:rsid w:val="008E4ED0"/>
    <w:rsid w:val="00920692"/>
    <w:rsid w:val="00B11750"/>
    <w:rsid w:val="00BD3253"/>
    <w:rsid w:val="00C50CF0"/>
    <w:rsid w:val="00C60CDC"/>
    <w:rsid w:val="00D61FC0"/>
    <w:rsid w:val="00F50F33"/>
    <w:rsid w:val="00F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60E4E6"/>
  <w15:chartTrackingRefBased/>
  <w15:docId w15:val="{34528603-253C-422C-BF3C-601DDB06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BC"/>
    <w:pPr>
      <w:spacing w:after="0" w:line="260" w:lineRule="atLeast"/>
    </w:pPr>
    <w:rPr>
      <w:rFonts w:ascii="Georgia" w:eastAsia="Times New Roman" w:hAnsi="Georgia" w:cs="Times New Roman"/>
      <w:kern w:val="4"/>
      <w:sz w:val="21"/>
      <w:szCs w:val="24"/>
      <w:lang w:val="fr-B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1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1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a-cogeca.eu/downloadThread.aspx?threadID=21545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a-cogeca.eu/downloadThread.aspx?threadID=2154506" TargetMode="External"/><Relationship Id="rId5" Type="http://schemas.openxmlformats.org/officeDocument/2006/relationships/hyperlink" Target="https://agriinfo.copa-cogeca.eu/Download.ashx?ID=37479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Microsoft Office User</cp:lastModifiedBy>
  <cp:revision>15</cp:revision>
  <dcterms:created xsi:type="dcterms:W3CDTF">2020-04-30T11:00:00Z</dcterms:created>
  <dcterms:modified xsi:type="dcterms:W3CDTF">2020-05-04T16:04:00Z</dcterms:modified>
</cp:coreProperties>
</file>